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32618">
      <w:pPr>
        <w:ind w:firstLine="2168" w:firstLineChars="600"/>
        <w:rPr>
          <w:rFonts w:hint="eastAsia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</w:rPr>
        <w:t>专利实施经济效益证明</w:t>
      </w:r>
    </w:p>
    <w:p w14:paraId="7FA334B9">
      <w:pPr>
        <w:ind w:firstLine="1807" w:firstLineChars="500"/>
        <w:rPr>
          <w:rFonts w:hint="eastAsia"/>
          <w:b/>
          <w:bCs/>
          <w:sz w:val="36"/>
          <w:szCs w:val="36"/>
        </w:rPr>
      </w:pPr>
    </w:p>
    <w:p w14:paraId="105B1A5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专利名称：一种基于激光扫描仪的 AGV 及其导航方法</w:t>
      </w:r>
    </w:p>
    <w:p w14:paraId="61E83F9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专利号：ZL202010249270.1</w:t>
      </w:r>
    </w:p>
    <w:p w14:paraId="3B0F8AF0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专利权人：广州理工学院</w:t>
      </w:r>
    </w:p>
    <w:p w14:paraId="4840716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专利实施单位：广东爱吉尔机器人科技有限公司</w:t>
      </w:r>
    </w:p>
    <w:p w14:paraId="2A56599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本公司自 2023 年起，依托上述发明专利开展反光板激光导航 AGV 整机规模化生产、市场销售，专利技术全部搭载于本公司主力 AGV 产品，相关经营数据统计周期为 2023 年 1 月 1 日 —2025 年 12 月 31 日，财务数据真实完整，经财务核算确认如下：</w:t>
      </w:r>
    </w:p>
    <w:p w14:paraId="219E3125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一、分年度经营数据（仅统计搭载本专利产品）</w:t>
      </w:r>
    </w:p>
    <w:p w14:paraId="72F9AF7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2023 年度</w:t>
      </w:r>
    </w:p>
    <w:p w14:paraId="2A9FED5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专利产品销售额：3587 万元</w:t>
      </w:r>
    </w:p>
    <w:p w14:paraId="4A1328E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实现利税额：789 万元</w:t>
      </w:r>
    </w:p>
    <w:p w14:paraId="2B40F48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出口额：0 万元</w:t>
      </w:r>
    </w:p>
    <w:p w14:paraId="5D463F7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珠三角反光板导航 AGV 细分市场占有率：2.8%</w:t>
      </w:r>
    </w:p>
    <w:p w14:paraId="3E0E4DF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2024 年度</w:t>
      </w:r>
    </w:p>
    <w:p w14:paraId="0EAFEF3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专利产品销售额：3728 万元</w:t>
      </w:r>
    </w:p>
    <w:p w14:paraId="61965E8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实现利税额：820 万元</w:t>
      </w:r>
    </w:p>
    <w:p w14:paraId="1829D20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出口额：0 万元</w:t>
      </w:r>
    </w:p>
    <w:p w14:paraId="5CE0C25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珠三角反光板导航 AGV 细分市场占有率：3.0%</w:t>
      </w:r>
    </w:p>
    <w:p w14:paraId="65EA28D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2025 年度</w:t>
      </w:r>
    </w:p>
    <w:p w14:paraId="4FEBE78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专利产品销售额：3895 万元</w:t>
      </w:r>
    </w:p>
    <w:p w14:paraId="4720E35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实现利税额：857 万元</w:t>
      </w:r>
    </w:p>
    <w:p w14:paraId="413DF46C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出口额：0 万元</w:t>
      </w:r>
    </w:p>
    <w:p w14:paraId="663584A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珠三角反光板导航 AGV 细分市场占有率：3.3%</w:t>
      </w:r>
    </w:p>
    <w:p w14:paraId="39EB7DCE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二、三年合计汇总</w:t>
      </w:r>
    </w:p>
    <w:p w14:paraId="75D9C60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三年累计专利产品销售额：11210 万元</w:t>
      </w:r>
    </w:p>
    <w:p w14:paraId="1BE15FA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三年累计实现利税额：2466 万元</w:t>
      </w:r>
    </w:p>
    <w:p w14:paraId="578AD85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三年累计出口额：0 万元</w:t>
      </w:r>
    </w:p>
    <w:p w14:paraId="50B6A0D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三年平均细分市场占有率：3.1%</w:t>
      </w:r>
    </w:p>
    <w:p w14:paraId="719CDB5D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三、专利许可及其他收益说明</w:t>
      </w:r>
    </w:p>
    <w:p w14:paraId="220753B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2023 年至今，本专利仅由校企联合自行生产销售，未对外签订具备法律效力的独占 / 排他 / 普通专利实施许可合同，无专利许可使用费、技术转让、股权作价、质押融资等其他知识产权收益，累计许可收益为 0 万元。</w:t>
      </w:r>
    </w:p>
    <w:p w14:paraId="39A0820A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四、专利实施降本增效量化说明</w:t>
      </w:r>
    </w:p>
    <w:p w14:paraId="16BC4C1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1.客户端改造成本：同等定位精度下，企业反光板采购、运维投入降低 30%；</w:t>
      </w:r>
    </w:p>
    <w:p w14:paraId="5D2ADE3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2.运营成本节约：AGV 定位漂移故障下降 65%，设备停机校准工时大幅减少，单产线可减少 2-3 名物料搬运人员；</w:t>
      </w:r>
    </w:p>
    <w:p w14:paraId="4B7EB52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3.能耗节约：设备无效折返行驶里程减少 18%，整机综合耗电量降低 10%，长期持续降低客户用电成本；</w:t>
      </w:r>
    </w:p>
    <w:p w14:paraId="3ACB8A6E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4.产品竞争优势：依托本专利同轴同步测角核心创新形成差异化卖点，产品覆盖广州、佛山、东莞等珠三角数十家制造、仓储企业，复购订单占比逐年提升。</w:t>
      </w:r>
    </w:p>
    <w:p w14:paraId="283B33D3"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五、承诺声明</w:t>
      </w:r>
    </w:p>
    <w:p w14:paraId="1DA05D9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本证明所有销售额、利税额、市场份额等财务数据均来自公司真实财务账簿、增值税销售发票、购销合同，数据客观真实、无虚构、夸大、篡改情形；可配合评审单位核查原始财务凭证。特此证明。</w:t>
      </w:r>
    </w:p>
    <w:p w14:paraId="64756B0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出具单位：广东爱吉尔机器人科技有限公司</w:t>
      </w:r>
    </w:p>
    <w:p w14:paraId="6F539E5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财务负责人签字：____________</w:t>
      </w:r>
    </w:p>
    <w:p w14:paraId="4340FAA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法定代表人签字：____________</w:t>
      </w:r>
    </w:p>
    <w:p w14:paraId="6482ACB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（加盖红色财务专用章 + 企业行政公章）</w:t>
      </w:r>
    </w:p>
    <w:p w14:paraId="63163C6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日期：2026 年_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月_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_日</w:t>
      </w:r>
    </w:p>
    <w:p w14:paraId="738B173C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配套附件（一并上传）</w:t>
      </w:r>
    </w:p>
    <w:p w14:paraId="130342E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代表性年度销售合同、增值税发票复印件（隐去客户隐私）</w:t>
      </w:r>
    </w:p>
    <w:p w14:paraId="6A7624CF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细分市场规模测算说明</w:t>
      </w:r>
    </w:p>
    <w:p w14:paraId="58F117F0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历年专利年费缴费凭证、专利登记簿副本</w:t>
      </w:r>
    </w:p>
    <w:p w14:paraId="2BFA63D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盖章硬性要求（省局初审红线）</w:t>
      </w:r>
    </w:p>
    <w:p w14:paraId="012F6A8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必须加盖财务专用章，仅盖行政公章无效；</w:t>
      </w:r>
    </w:p>
    <w:p w14:paraId="0FDC0EF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财务负责人、法定代表人手写签字，不可打印；</w:t>
      </w:r>
    </w:p>
    <w:p w14:paraId="34BDA6A8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仅接受实体红色鲜章，电子章、黑白复印章不予认可。</w:t>
      </w:r>
    </w:p>
    <w:p w14:paraId="73E46BDA">
      <w:pPr>
        <w:rPr>
          <w:rFonts w:hint="eastAsia" w:ascii="宋体" w:hAnsi="宋体" w:eastAsia="宋体" w:cs="宋体"/>
          <w:sz w:val="28"/>
          <w:szCs w:val="28"/>
        </w:rPr>
      </w:pPr>
    </w:p>
    <w:p w14:paraId="2F2BE7D1">
      <w:pPr>
        <w:rPr>
          <w:rFonts w:hint="eastAsia" w:ascii="宋体" w:hAnsi="宋体" w:eastAsia="宋体" w:cs="宋体"/>
          <w:sz w:val="28"/>
          <w:szCs w:val="28"/>
        </w:rPr>
      </w:pPr>
    </w:p>
    <w:p w14:paraId="59C3F40F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046D0"/>
    <w:rsid w:val="1B0879FF"/>
    <w:rsid w:val="43F03599"/>
    <w:rsid w:val="5B1E5F8A"/>
    <w:rsid w:val="72204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716</Words>
  <Characters>823</Characters>
  <Lines>0</Lines>
  <Paragraphs>0</Paragraphs>
  <TotalTime>17</TotalTime>
  <ScaleCrop>false</ScaleCrop>
  <LinksUpToDate>false</LinksUpToDate>
  <CharactersWithSpaces>885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2026-08-09T21:52:00Z</dcterms:created>
  <dc:creator>张德福</dc:creator>
  <cp:lastModifiedBy>张德福</cp:lastModifiedBy>
  <dcterms:modified xsi:type="dcterms:W3CDTF">2026-08-13T01:31:57Z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AE86883D29F34E809383EB332D81FBE3_11</vt:lpwstr>
  </property>
  <property fmtid="{D5CDD505-2E9C-101B-9397-08002B2CF9AE}" pid="4" name="KSOTemplateDocerSaveRecord">
    <vt:lpwstr>eyJoZGlkIjoiODRhYjkzYTVlMjEzNTZhYjFmMzI1MTczZjdhODI2YjYiLCJ1c2VySWQiOiIzODI0MTI2MDgifQ==</vt:lpwstr>
  </property>
</Properties>
</file>